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96" w:rsidRPr="00B82887" w:rsidRDefault="003B2296" w:rsidP="003B2296">
      <w:pPr>
        <w:spacing w:before="225" w:after="225" w:line="240" w:lineRule="auto"/>
        <w:ind w:firstLine="525"/>
        <w:jc w:val="center"/>
        <w:rPr>
          <w:rFonts w:ascii="Times New Roman" w:eastAsia="Times New Roman" w:hAnsi="Times New Roman" w:cs="Times New Roman"/>
          <w:b/>
          <w:color w:val="333333"/>
          <w:lang w:eastAsia="lv-LV"/>
        </w:rPr>
      </w:pPr>
      <w:r w:rsidRPr="00B82887">
        <w:rPr>
          <w:rFonts w:ascii="Times New Roman" w:eastAsia="Times New Roman" w:hAnsi="Times New Roman" w:cs="Times New Roman"/>
          <w:b/>
          <w:color w:val="333333"/>
          <w:lang w:eastAsia="lv-LV"/>
        </w:rPr>
        <w:t>ĀRPUS FORMĀLĀS IZGLĪTĪBAS IEGŪTĀS PROFESIONĀLĀS KOMPETENCES NOVĒRTĒŠANA</w:t>
      </w:r>
      <w:r w:rsidR="00C7563B">
        <w:rPr>
          <w:rFonts w:ascii="Times New Roman" w:eastAsia="Times New Roman" w:hAnsi="Times New Roman" w:cs="Times New Roman"/>
          <w:b/>
          <w:color w:val="333333"/>
          <w:lang w:eastAsia="lv-LV"/>
        </w:rPr>
        <w:t xml:space="preserve"> KĀRTĪBA</w:t>
      </w:r>
    </w:p>
    <w:p w:rsidR="00400A35" w:rsidRPr="00400A35" w:rsidRDefault="00400A35" w:rsidP="003B2296">
      <w:pPr>
        <w:spacing w:before="225" w:after="225" w:line="240" w:lineRule="auto"/>
        <w:ind w:firstLine="525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  <w:r w:rsidRPr="003B2296">
        <w:rPr>
          <w:rFonts w:ascii="Times New Roman" w:eastAsia="Times New Roman" w:hAnsi="Times New Roman" w:cs="Times New Roman"/>
          <w:color w:val="333333"/>
          <w:lang w:eastAsia="lv-LV"/>
        </w:rPr>
        <w:t>Saskaņā ar Ministru kabineta 2011.gada 22. februāra  noteikumiem</w:t>
      </w:r>
      <w:r w:rsidR="009E4E47" w:rsidRPr="003B2296">
        <w:rPr>
          <w:rFonts w:ascii="Times New Roman" w:eastAsia="Times New Roman" w:hAnsi="Times New Roman" w:cs="Times New Roman"/>
          <w:color w:val="333333"/>
          <w:lang w:eastAsia="lv-LV"/>
        </w:rPr>
        <w:t xml:space="preserve"> Nr. 146 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 xml:space="preserve"> "Kārtība, kādā novērtē ārpus formālās izglītības sistēmas </w:t>
      </w:r>
      <w:r w:rsidR="003B2296">
        <w:rPr>
          <w:rFonts w:ascii="Times New Roman" w:eastAsia="Times New Roman" w:hAnsi="Times New Roman" w:cs="Times New Roman"/>
          <w:color w:val="333333"/>
          <w:lang w:eastAsia="lv-LV"/>
        </w:rPr>
        <w:t xml:space="preserve">apgūto profesionālo kompetenci", </w:t>
      </w:r>
      <w:r w:rsidRPr="003B2296">
        <w:rPr>
          <w:rFonts w:ascii="Times New Roman" w:eastAsia="Times New Roman" w:hAnsi="Times New Roman" w:cs="Times New Roman"/>
          <w:color w:val="333333"/>
          <w:lang w:eastAsia="lv-LV"/>
        </w:rPr>
        <w:t>tiem strādājošajiem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>, kuriem</w:t>
      </w:r>
      <w:r w:rsidRPr="00400A35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 xml:space="preserve"> ir praktiskā darba pieredze un zināšanas noteiktā profesijā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 xml:space="preserve">, bet nav kvalifikāciju apliecinoša dokumenta </w:t>
      </w:r>
      <w:r w:rsidRPr="003B2296">
        <w:rPr>
          <w:rFonts w:ascii="Times New Roman" w:eastAsia="Times New Roman" w:hAnsi="Times New Roman" w:cs="Times New Roman"/>
          <w:color w:val="333333"/>
          <w:lang w:eastAsia="lv-LV"/>
        </w:rPr>
        <w:t xml:space="preserve">ir  </w:t>
      </w:r>
      <w:r w:rsidRPr="003B2296">
        <w:rPr>
          <w:rFonts w:ascii="Times New Roman" w:eastAsia="Times New Roman" w:hAnsi="Times New Roman" w:cs="Times New Roman"/>
          <w:b/>
          <w:color w:val="333333"/>
          <w:lang w:eastAsia="lv-LV"/>
        </w:rPr>
        <w:t>iespēja</w:t>
      </w:r>
      <w:r w:rsidRPr="003B2296">
        <w:rPr>
          <w:rFonts w:ascii="Times New Roman" w:eastAsia="Times New Roman" w:hAnsi="Times New Roman" w:cs="Times New Roman"/>
          <w:color w:val="333333"/>
          <w:lang w:eastAsia="lv-LV"/>
        </w:rPr>
        <w:t xml:space="preserve"> </w:t>
      </w:r>
      <w:r w:rsidRPr="00400A35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 xml:space="preserve">iegūt valsts atzītu pirmā, otrā vai trešā līmeņa profesionālo kvalifikāciju </w:t>
      </w:r>
      <w:r w:rsidRPr="003B2296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 xml:space="preserve">un to </w:t>
      </w:r>
      <w:r w:rsidRPr="00400A35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>apliecinošu dokumentu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>.</w:t>
      </w:r>
      <w:r w:rsidR="003B2296">
        <w:rPr>
          <w:rFonts w:ascii="Times New Roman" w:eastAsia="Times New Roman" w:hAnsi="Times New Roman" w:cs="Times New Roman"/>
          <w:color w:val="333333"/>
          <w:lang w:eastAsia="lv-LV"/>
        </w:rPr>
        <w:t xml:space="preserve"> Attiecībā uz iepriekšējo izglītību nav noteiktas nekādas prasības.</w:t>
      </w:r>
    </w:p>
    <w:p w:rsidR="00400A35" w:rsidRPr="00400A35" w:rsidRDefault="00400A35" w:rsidP="003B2296">
      <w:pPr>
        <w:spacing w:before="225" w:line="240" w:lineRule="auto"/>
        <w:ind w:firstLine="525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  <w:r w:rsidRPr="003B2296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 xml:space="preserve">Valsts SIA „Rīgas Tūrisma un radošās industrijas tehnikums” 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 xml:space="preserve">ar Izglītības kvalitātes valsts dienestu </w:t>
      </w:r>
      <w:r w:rsidR="003B2296">
        <w:rPr>
          <w:rFonts w:ascii="Times New Roman" w:eastAsia="Times New Roman" w:hAnsi="Times New Roman" w:cs="Times New Roman"/>
          <w:color w:val="333333"/>
          <w:lang w:eastAsia="lv-LV"/>
        </w:rPr>
        <w:t>ir noslēdzis deleģējuma līgumus</w:t>
      </w:r>
      <w:r w:rsidRPr="00400A35">
        <w:rPr>
          <w:rFonts w:ascii="Times New Roman" w:eastAsia="Times New Roman" w:hAnsi="Times New Roman" w:cs="Times New Roman"/>
          <w:color w:val="333333"/>
          <w:lang w:eastAsia="lv-LV"/>
        </w:rPr>
        <w:t>, kas dod</w:t>
      </w:r>
      <w:r w:rsidRPr="00400A35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 xml:space="preserve"> tiesības novērtēt ārpus formālās izglītības sistēmas apgūtās profesionālās kompetences un izsniegt izglītību apliecinoš</w:t>
      </w:r>
      <w:r w:rsidR="00C7563B">
        <w:rPr>
          <w:rFonts w:ascii="Times New Roman" w:eastAsia="Times New Roman" w:hAnsi="Times New Roman" w:cs="Times New Roman"/>
          <w:b/>
          <w:bCs/>
          <w:color w:val="333333"/>
          <w:lang w:eastAsia="lv-LV"/>
        </w:rPr>
        <w:t>u dokumentu.</w:t>
      </w:r>
    </w:p>
    <w:p w:rsidR="009E4E47" w:rsidRPr="00400A35" w:rsidRDefault="009E4E47" w:rsidP="00A974BF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400A35">
        <w:rPr>
          <w:rFonts w:ascii="Times New Roman" w:eastAsia="Times New Roman" w:hAnsi="Times New Roman" w:cs="Times New Roman"/>
          <w:lang w:eastAsia="lv-LV"/>
        </w:rPr>
        <w:t>Kārtība, kādā novērtē personas (pretendents) profesionālo kompetenci:</w:t>
      </w:r>
    </w:p>
    <w:p w:rsidR="009E4E47" w:rsidRPr="003B2296" w:rsidRDefault="009E4E47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 xml:space="preserve">pretendents iesniedz 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 xml:space="preserve">tehnikuma tālākizglītības un mūžizglītības daļā 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Pr="00231D76">
          <w:rPr>
            <w:rFonts w:ascii="Times New Roman" w:eastAsia="Times New Roman" w:hAnsi="Times New Roman" w:cs="Times New Roman"/>
            <w:u w:val="single"/>
            <w:lang w:eastAsia="lv-LV"/>
          </w:rPr>
          <w:t>iesniegumu</w:t>
        </w:r>
      </w:hyperlink>
      <w:r w:rsidRPr="003B2296">
        <w:rPr>
          <w:rFonts w:ascii="Times New Roman" w:eastAsia="Times New Roman" w:hAnsi="Times New Roman" w:cs="Times New Roman"/>
          <w:lang w:eastAsia="lv-LV"/>
        </w:rPr>
        <w:t xml:space="preserve"> profesionālās kompetences novērtēšanai;</w:t>
      </w:r>
    </w:p>
    <w:p w:rsidR="009E4E47" w:rsidRPr="003B2296" w:rsidRDefault="009E4E47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>iesniegumam oblig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 xml:space="preserve">āti pievieno </w:t>
      </w:r>
      <w:r w:rsidR="00B82887">
        <w:rPr>
          <w:rFonts w:ascii="Times New Roman" w:eastAsia="Times New Roman" w:hAnsi="Times New Roman" w:cs="Times New Roman"/>
          <w:lang w:eastAsia="lv-LV"/>
        </w:rPr>
        <w:t>maksājuma dokumentu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, kas apliecina samaksu par profesionālās kvalifikācijas eksāmenu saskaņā ar Ministru kabineta 22.02.2011. noteikumiem Nr. </w:t>
      </w:r>
      <w:r w:rsidRPr="00231D76">
        <w:rPr>
          <w:rFonts w:ascii="Times New Roman" w:eastAsia="Times New Roman" w:hAnsi="Times New Roman" w:cs="Times New Roman"/>
          <w:lang w:eastAsia="lv-LV"/>
        </w:rPr>
        <w:t xml:space="preserve">149 </w:t>
      </w:r>
      <w:hyperlink r:id="rId6" w:history="1">
        <w:r w:rsidRPr="00231D76">
          <w:rPr>
            <w:rFonts w:ascii="Times New Roman" w:eastAsia="Times New Roman" w:hAnsi="Times New Roman" w:cs="Times New Roman"/>
            <w:u w:val="single"/>
            <w:lang w:eastAsia="lv-LV"/>
          </w:rPr>
          <w:t>„Noteikumi par profesionālās izglītības iestāžu valsts pārvaldes uzdevuma ietvaros sniegto maksas pakalpojuma cenrādi”</w:t>
        </w:r>
      </w:hyperlink>
      <w:r w:rsidRPr="003B2296">
        <w:rPr>
          <w:rFonts w:ascii="Times New Roman" w:eastAsia="Times New Roman" w:hAnsi="Times New Roman" w:cs="Times New Roman"/>
          <w:lang w:eastAsia="lv-LV"/>
        </w:rPr>
        <w:t>,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 xml:space="preserve"> pamatojoties uz tehnikuma izrakstīto rēķinu un 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veicot pārskaitījumu uz 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tehnikuma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kases kontu.</w:t>
      </w:r>
    </w:p>
    <w:p w:rsidR="009E4E47" w:rsidRPr="003B2296" w:rsidRDefault="00A974BF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>tehnikums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 xml:space="preserve"> nodrošina pretendentam divas 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bezmaksas 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>konsultācijas par attiecīgā profesijas standarta prasībām un profesionālās kvalifikācijas eksāmen</w:t>
      </w:r>
      <w:r w:rsidRPr="003B2296">
        <w:rPr>
          <w:rFonts w:ascii="Times New Roman" w:eastAsia="Times New Roman" w:hAnsi="Times New Roman" w:cs="Times New Roman"/>
          <w:lang w:eastAsia="lv-LV"/>
        </w:rPr>
        <w:t>a norises gaitu un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 xml:space="preserve"> citiem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administratīviem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 xml:space="preserve"> jautājumiem;</w:t>
      </w:r>
    </w:p>
    <w:p w:rsidR="00A974BF" w:rsidRPr="003B2296" w:rsidRDefault="00A974BF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>Nepieciešamības gadījumā pretendentam ir iespēja saņemt papildus maksas konsultācijas par teorētiskajiem jautājumiem</w:t>
      </w:r>
      <w:r w:rsidR="00B82887">
        <w:rPr>
          <w:rFonts w:ascii="Times New Roman" w:eastAsia="Times New Roman" w:hAnsi="Times New Roman" w:cs="Times New Roman"/>
          <w:lang w:eastAsia="lv-LV"/>
        </w:rPr>
        <w:t>;</w:t>
      </w:r>
    </w:p>
    <w:p w:rsidR="009E4E47" w:rsidRPr="003B2296" w:rsidRDefault="00A974BF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>tehnikums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 xml:space="preserve"> organizē un īsteno profesionālās kvalifikācijas eksāmenu atbilstoši normatīvajos aktos noteiktajai profesionālās kvalifikācijas eksāmenu norises kārtībai akreditētās profesionālās izglītības programmās, nodrošinot pretendentam iespēju profes</w:t>
      </w:r>
      <w:r w:rsidRPr="003B2296">
        <w:rPr>
          <w:rFonts w:ascii="Times New Roman" w:eastAsia="Times New Roman" w:hAnsi="Times New Roman" w:cs="Times New Roman"/>
          <w:lang w:eastAsia="lv-LV"/>
        </w:rPr>
        <w:t>ionālās kvalifikācijas eksāmenu</w:t>
      </w:r>
      <w:r w:rsidR="009E4E47" w:rsidRPr="003B2296">
        <w:rPr>
          <w:rFonts w:ascii="Times New Roman" w:eastAsia="Times New Roman" w:hAnsi="Times New Roman" w:cs="Times New Roman"/>
          <w:lang w:eastAsia="lv-LV"/>
        </w:rPr>
        <w:t xml:space="preserve"> kārtot attiecīgajā izglītības programmā profesionālās kvalifikācijas eksāmena ietvaros, kas tiek organizēts tuvākajā laikā eksāmenu ietvaros vai divu mēnešu laikā pēc iesnieguma saņemšanas;</w:t>
      </w:r>
    </w:p>
    <w:p w:rsidR="009E4E47" w:rsidRPr="003B2296" w:rsidRDefault="009E4E47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 xml:space="preserve">pretendentam, kurš profesionālās kvalifikācijas eksāmena vērtējumā saņēmis atzīmi, ne mazāku par “5 – viduvēji”, 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tiek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izsnie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gta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profes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ionālās kvalifikācijas apliecība</w:t>
      </w:r>
      <w:r w:rsidRPr="003B2296">
        <w:rPr>
          <w:rFonts w:ascii="Times New Roman" w:eastAsia="Times New Roman" w:hAnsi="Times New Roman" w:cs="Times New Roman"/>
          <w:lang w:eastAsia="lv-LV"/>
        </w:rPr>
        <w:t>,</w:t>
      </w:r>
    </w:p>
    <w:p w:rsidR="009E4E47" w:rsidRDefault="009E4E47" w:rsidP="00A974BF">
      <w:pPr>
        <w:pStyle w:val="ListParagraph"/>
        <w:numPr>
          <w:ilvl w:val="0"/>
          <w:numId w:val="2"/>
        </w:num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3B2296">
        <w:rPr>
          <w:rFonts w:ascii="Times New Roman" w:eastAsia="Times New Roman" w:hAnsi="Times New Roman" w:cs="Times New Roman"/>
          <w:lang w:eastAsia="lv-LV"/>
        </w:rPr>
        <w:t xml:space="preserve">pretendents var apstrīdēt profesionālās kvalifikācijas eksāmenā saņemto vērtējumu, iesniedzot  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izglītības iestādes vadītājam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iesniegumu mēneša laikā no eksaminācijas komisijas lēmuma spēkā stāšanās dienas. </w:t>
      </w:r>
      <w:r w:rsidR="00A974BF" w:rsidRPr="003B2296">
        <w:rPr>
          <w:rFonts w:ascii="Times New Roman" w:eastAsia="Times New Roman" w:hAnsi="Times New Roman" w:cs="Times New Roman"/>
          <w:lang w:eastAsia="lv-LV"/>
        </w:rPr>
        <w:t>Izglītības iestādes vadītāja</w:t>
      </w:r>
      <w:r w:rsidRPr="003B2296">
        <w:rPr>
          <w:rFonts w:ascii="Times New Roman" w:eastAsia="Times New Roman" w:hAnsi="Times New Roman" w:cs="Times New Roman"/>
          <w:lang w:eastAsia="lv-LV"/>
        </w:rPr>
        <w:t xml:space="preserve"> lēmumu var pārsūdzēt tiesā Administratīvā procesa likumā noteiktajā kārtībā.</w:t>
      </w:r>
    </w:p>
    <w:p w:rsidR="003B2296" w:rsidRPr="003B2296" w:rsidRDefault="003B2296" w:rsidP="003B2296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Papildus informācija: </w:t>
      </w:r>
      <w:hyperlink r:id="rId7" w:history="1">
        <w:r w:rsidRPr="00AD4BE4">
          <w:rPr>
            <w:rStyle w:val="Hyperlink"/>
            <w:rFonts w:ascii="Times New Roman" w:eastAsia="Times New Roman" w:hAnsi="Times New Roman" w:cs="Times New Roman"/>
            <w:lang w:eastAsia="lv-LV"/>
          </w:rPr>
          <w:t>www.ikvd.gov.lv/arpus-formala-izglitiba/</w:t>
        </w:r>
      </w:hyperlink>
    </w:p>
    <w:p w:rsidR="003B2296" w:rsidRPr="00842E7A" w:rsidRDefault="003B2296" w:rsidP="00410DBB">
      <w:pPr>
        <w:spacing w:before="225" w:line="240" w:lineRule="auto"/>
        <w:ind w:firstLine="525"/>
        <w:rPr>
          <w:rFonts w:ascii="Times New Roman" w:eastAsia="Times New Roman" w:hAnsi="Times New Roman" w:cs="Times New Roman"/>
          <w:color w:val="333333"/>
          <w:lang w:eastAsia="lv-LV"/>
        </w:rPr>
      </w:pPr>
      <w:r>
        <w:rPr>
          <w:rFonts w:ascii="Times New Roman" w:eastAsia="Times New Roman" w:hAnsi="Times New Roman" w:cs="Times New Roman"/>
          <w:color w:val="333333"/>
          <w:lang w:eastAsia="lv-LV"/>
        </w:rPr>
        <w:t>Kontaktpersona:</w:t>
      </w:r>
      <w:r w:rsidR="00842E7A">
        <w:rPr>
          <w:rFonts w:ascii="Times New Roman" w:eastAsia="Times New Roman" w:hAnsi="Times New Roman" w:cs="Times New Roman"/>
          <w:color w:val="333333"/>
          <w:lang w:eastAsia="lv-LV"/>
        </w:rPr>
        <w:t xml:space="preserve">  </w:t>
      </w:r>
      <w:r w:rsidR="00410DBB">
        <w:rPr>
          <w:rFonts w:ascii="Times New Roman" w:eastAsia="Times New Roman" w:hAnsi="Times New Roman" w:cs="Times New Roman"/>
          <w:color w:val="333333"/>
          <w:lang w:eastAsia="lv-LV"/>
        </w:rPr>
        <w:br/>
      </w:r>
      <w:r>
        <w:rPr>
          <w:rFonts w:ascii="Times New Roman" w:eastAsia="Times New Roman" w:hAnsi="Times New Roman" w:cs="Times New Roman"/>
          <w:color w:val="333333"/>
          <w:lang w:eastAsia="lv-LV"/>
        </w:rPr>
        <w:t xml:space="preserve">Tālākizglītības un mūžizglītības daļas vadītāja </w:t>
      </w:r>
      <w:r w:rsidR="00410DBB">
        <w:rPr>
          <w:rFonts w:ascii="Times New Roman" w:eastAsia="Times New Roman" w:hAnsi="Times New Roman" w:cs="Times New Roman"/>
          <w:color w:val="333333"/>
          <w:lang w:eastAsia="lv-LV"/>
        </w:rPr>
        <w:t>Sarmīte Kudiņa</w:t>
      </w:r>
      <w:r w:rsidR="00231D76">
        <w:rPr>
          <w:rFonts w:ascii="Times New Roman" w:eastAsia="Times New Roman" w:hAnsi="Times New Roman" w:cs="Times New Roman"/>
          <w:color w:val="333333"/>
          <w:lang w:eastAsia="lv-LV"/>
        </w:rPr>
        <w:t xml:space="preserve">,  </w:t>
      </w:r>
      <w:r w:rsidRPr="003B2296">
        <w:rPr>
          <w:rFonts w:ascii="Times New Roman" w:eastAsia="Times New Roman" w:hAnsi="Times New Roman" w:cs="Times New Roman"/>
          <w:bCs/>
          <w:color w:val="333333"/>
          <w:lang w:eastAsia="lv-LV"/>
        </w:rPr>
        <w:t>tel.</w:t>
      </w:r>
      <w:r w:rsidR="00231D76">
        <w:rPr>
          <w:rFonts w:ascii="Times New Roman" w:eastAsia="Times New Roman" w:hAnsi="Times New Roman" w:cs="Times New Roman"/>
          <w:bCs/>
          <w:color w:val="333333"/>
          <w:lang w:eastAsia="lv-LV"/>
        </w:rPr>
        <w:t xml:space="preserve"> </w:t>
      </w:r>
      <w:r w:rsidR="00410DBB" w:rsidRPr="00410DBB">
        <w:rPr>
          <w:rFonts w:ascii="Times New Roman" w:eastAsia="Times New Roman" w:hAnsi="Times New Roman" w:cs="Times New Roman"/>
          <w:bCs/>
          <w:color w:val="333333"/>
          <w:lang w:eastAsia="lv-LV"/>
        </w:rPr>
        <w:t>67147578</w:t>
      </w:r>
      <w:r w:rsidR="00410DBB">
        <w:rPr>
          <w:rFonts w:ascii="Times New Roman" w:eastAsia="Times New Roman" w:hAnsi="Times New Roman" w:cs="Times New Roman"/>
          <w:bCs/>
          <w:color w:val="333333"/>
          <w:lang w:eastAsia="lv-LV"/>
        </w:rPr>
        <w:t xml:space="preserve">, 27826438, </w:t>
      </w:r>
      <w:r w:rsidR="00842E7A">
        <w:rPr>
          <w:rFonts w:ascii="Times New Roman" w:eastAsia="Times New Roman" w:hAnsi="Times New Roman" w:cs="Times New Roman"/>
          <w:bCs/>
          <w:color w:val="333333"/>
          <w:lang w:eastAsia="lv-LV"/>
        </w:rPr>
        <w:t xml:space="preserve"> </w:t>
      </w:r>
      <w:hyperlink r:id="rId8" w:history="1">
        <w:r w:rsidR="00410DBB">
          <w:rPr>
            <w:rStyle w:val="Hyperlink"/>
            <w:rFonts w:ascii="Times New Roman" w:eastAsia="Times New Roman" w:hAnsi="Times New Roman" w:cs="Times New Roman"/>
            <w:bCs/>
            <w:lang w:eastAsia="lv-LV"/>
          </w:rPr>
          <w:t>sarmite.kudina@rtrit.lv;</w:t>
        </w:r>
      </w:hyperlink>
      <w:r w:rsidR="00410DBB">
        <w:rPr>
          <w:rStyle w:val="Hyperlink"/>
          <w:rFonts w:ascii="Times New Roman" w:eastAsia="Times New Roman" w:hAnsi="Times New Roman" w:cs="Times New Roman"/>
          <w:bCs/>
          <w:lang w:eastAsia="lv-LV"/>
        </w:rPr>
        <w:t xml:space="preserve"> kursi@rtrit.lv</w:t>
      </w:r>
      <w:bookmarkStart w:id="0" w:name="_GoBack"/>
      <w:bookmarkEnd w:id="0"/>
    </w:p>
    <w:p w:rsidR="003B2296" w:rsidRDefault="003B2296" w:rsidP="009E4E47">
      <w:pPr>
        <w:spacing w:before="225" w:line="240" w:lineRule="auto"/>
        <w:ind w:firstLine="525"/>
        <w:rPr>
          <w:rFonts w:ascii="Times New Roman" w:eastAsia="Times New Roman" w:hAnsi="Times New Roman" w:cs="Times New Roman"/>
          <w:bCs/>
          <w:color w:val="333333"/>
          <w:lang w:eastAsia="lv-LV"/>
        </w:rPr>
      </w:pPr>
    </w:p>
    <w:p w:rsidR="003B2296" w:rsidRPr="003B2296" w:rsidRDefault="003B2296" w:rsidP="009E4E47">
      <w:pPr>
        <w:spacing w:before="225" w:line="240" w:lineRule="auto"/>
        <w:ind w:firstLine="525"/>
        <w:rPr>
          <w:rFonts w:ascii="Times New Roman" w:eastAsia="Times New Roman" w:hAnsi="Times New Roman" w:cs="Times New Roman"/>
          <w:color w:val="333333"/>
          <w:lang w:eastAsia="lv-LV"/>
        </w:rPr>
      </w:pPr>
    </w:p>
    <w:p w:rsidR="009E4E47" w:rsidRDefault="009E4E47" w:rsidP="00400A35">
      <w:pPr>
        <w:spacing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4E47" w:rsidRDefault="009E4E47" w:rsidP="00400A35">
      <w:pPr>
        <w:spacing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E4E47" w:rsidSect="00842E7A">
      <w:pgSz w:w="11906" w:h="16838"/>
      <w:pgMar w:top="567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DCD"/>
    <w:multiLevelType w:val="hybridMultilevel"/>
    <w:tmpl w:val="494444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860"/>
    <w:multiLevelType w:val="multilevel"/>
    <w:tmpl w:val="B8C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62406"/>
    <w:multiLevelType w:val="hybridMultilevel"/>
    <w:tmpl w:val="B13273E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35"/>
    <w:rsid w:val="0006264E"/>
    <w:rsid w:val="00231D76"/>
    <w:rsid w:val="002E26B5"/>
    <w:rsid w:val="003B2296"/>
    <w:rsid w:val="003D092F"/>
    <w:rsid w:val="00400A35"/>
    <w:rsid w:val="00410DBB"/>
    <w:rsid w:val="00511763"/>
    <w:rsid w:val="00687DBF"/>
    <w:rsid w:val="00721F30"/>
    <w:rsid w:val="00842E7A"/>
    <w:rsid w:val="009E4E47"/>
    <w:rsid w:val="00A974BF"/>
    <w:rsid w:val="00B35DA6"/>
    <w:rsid w:val="00B82887"/>
    <w:rsid w:val="00C7563B"/>
    <w:rsid w:val="00CB1E2F"/>
    <w:rsid w:val="00E54438"/>
    <w:rsid w:val="00E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DFA9-BE54-4F9E-A232-D4E1CC8B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802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8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6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7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buka@rtrit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vd.gov.lv/arpus-formala-izglit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likumi.lv/doc.php?id=226539" TargetMode="External"/><Relationship Id="rId5" Type="http://schemas.openxmlformats.org/officeDocument/2006/relationships/hyperlink" Target="http://www.rtpv.edu.lv/spaw/uploads/files/rpus%20form%C4%81l%C4%81%20izgl%C4%ABt%C4%ABba/N146-PIEL_1_1%20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Installer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Projekts 01</dc:creator>
  <cp:lastModifiedBy>Annele Rogozina</cp:lastModifiedBy>
  <cp:revision>4</cp:revision>
  <dcterms:created xsi:type="dcterms:W3CDTF">2018-05-15T08:49:00Z</dcterms:created>
  <dcterms:modified xsi:type="dcterms:W3CDTF">2020-04-27T12:45:00Z</dcterms:modified>
</cp:coreProperties>
</file>